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8C" w:rsidRDefault="006024F9" w:rsidP="006024F9">
      <w:pPr>
        <w:pStyle w:val="WW-"/>
        <w:spacing w:after="0"/>
        <w:rPr>
          <w:rFonts w:cs="Times New Roman"/>
          <w:color w:val="000000"/>
          <w:spacing w:val="2"/>
        </w:rPr>
      </w:pPr>
      <w:r>
        <w:rPr>
          <w:rFonts w:cs="Times New Roman"/>
          <w:noProof/>
          <w:color w:val="000000"/>
          <w:spacing w:val="2"/>
          <w:lang w:eastAsia="ru-RU"/>
        </w:rPr>
        <w:drawing>
          <wp:inline distT="0" distB="0" distL="0" distR="0">
            <wp:extent cx="5940425" cy="83585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5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6E8C">
        <w:rPr>
          <w:rFonts w:cs="Times New Roman"/>
          <w:color w:val="000000"/>
          <w:spacing w:val="2"/>
        </w:rPr>
        <w:t xml:space="preserve">                        </w:t>
      </w:r>
    </w:p>
    <w:p w:rsidR="006024F9" w:rsidRDefault="006024F9" w:rsidP="006024F9">
      <w:pPr>
        <w:pStyle w:val="WW-"/>
        <w:spacing w:after="0"/>
        <w:rPr>
          <w:color w:val="000000"/>
          <w:spacing w:val="2"/>
        </w:rPr>
      </w:pPr>
      <w:bookmarkStart w:id="0" w:name="_GoBack"/>
      <w:bookmarkEnd w:id="0"/>
    </w:p>
    <w:p w:rsidR="00456E8C" w:rsidRDefault="00456E8C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  <w:r>
        <w:lastRenderedPageBreak/>
        <w:t>Пояснительная записка</w:t>
      </w:r>
    </w:p>
    <w:p w:rsidR="007C34CF" w:rsidRDefault="007C34CF" w:rsidP="00A15F60">
      <w:pPr>
        <w:spacing w:after="120"/>
        <w:jc w:val="center"/>
      </w:pPr>
      <w:r>
        <w:t>Цели, задачи, прогнозируемые результаты курса</w:t>
      </w:r>
    </w:p>
    <w:p w:rsidR="007C34CF" w:rsidRDefault="007C34CF" w:rsidP="007C34CF">
      <w:pPr>
        <w:spacing w:after="120"/>
      </w:pPr>
      <w:r>
        <w:t>Цели курса:</w:t>
      </w:r>
    </w:p>
    <w:p w:rsidR="007C34CF" w:rsidRDefault="007C34CF" w:rsidP="007C34CF">
      <w:pPr>
        <w:spacing w:after="120"/>
      </w:pPr>
      <w:r>
        <w:t>- привить учащимся основы экономической грамотности, помочь ученику оценить свой потенциал с точки зрения образовательной перспективы;</w:t>
      </w:r>
    </w:p>
    <w:p w:rsidR="007C34CF" w:rsidRDefault="007C34CF" w:rsidP="007C34CF">
      <w:pPr>
        <w:spacing w:after="120"/>
      </w:pPr>
      <w:r>
        <w:t>- сформировать умения применять математические знания для решения жизненных проблем.</w:t>
      </w:r>
    </w:p>
    <w:p w:rsidR="007C34CF" w:rsidRDefault="007C34CF" w:rsidP="007C34CF">
      <w:pPr>
        <w:spacing w:after="120"/>
      </w:pPr>
      <w:r>
        <w:t>Задачи курса:</w:t>
      </w:r>
    </w:p>
    <w:p w:rsidR="007C34CF" w:rsidRDefault="007C34CF" w:rsidP="007C34CF">
      <w:pPr>
        <w:spacing w:after="120"/>
      </w:pPr>
      <w:r>
        <w:t>- овладение наиболее известными приемами и методами применения математических знаний в различных областях науки, техники и в жизненных ситуациях;</w:t>
      </w:r>
    </w:p>
    <w:p w:rsidR="007C34CF" w:rsidRDefault="007C34CF" w:rsidP="007C34CF">
      <w:pPr>
        <w:spacing w:after="120"/>
      </w:pPr>
      <w:r>
        <w:t>-формирование продуктивного мышления, обеспечивающего успешность жизни в обществе;</w:t>
      </w:r>
    </w:p>
    <w:p w:rsidR="007C34CF" w:rsidRDefault="007C34CF" w:rsidP="007C34CF">
      <w:pPr>
        <w:spacing w:after="120"/>
      </w:pPr>
      <w:r>
        <w:t>- формирование у учащихся устойчивого интереса к предмету;</w:t>
      </w:r>
    </w:p>
    <w:p w:rsidR="007C34CF" w:rsidRDefault="007C34CF" w:rsidP="007C34CF">
      <w:pPr>
        <w:spacing w:after="120"/>
      </w:pPr>
      <w:r>
        <w:t>- выявление и развитие математических способностей.</w:t>
      </w:r>
    </w:p>
    <w:p w:rsidR="007C34CF" w:rsidRDefault="007C34CF" w:rsidP="007C34CF">
      <w:pPr>
        <w:spacing w:after="120"/>
      </w:pPr>
      <w:r>
        <w:t>Прогнозируемые результаты:</w:t>
      </w:r>
    </w:p>
    <w:p w:rsidR="007C34CF" w:rsidRDefault="007C34CF" w:rsidP="007C34CF">
      <w:pPr>
        <w:spacing w:after="120"/>
      </w:pPr>
      <w:r>
        <w:t>- научиться выделять в ситуации проблему, которая решается средствами математики;</w:t>
      </w:r>
    </w:p>
    <w:p w:rsidR="007C34CF" w:rsidRDefault="007C34CF" w:rsidP="007C34CF">
      <w:pPr>
        <w:spacing w:after="120"/>
      </w:pPr>
      <w:r>
        <w:t>- усвоить наиболее известные приемы и методы применения математических знаний в различных областях науки, техники и в жизненных ситуациях;</w:t>
      </w:r>
    </w:p>
    <w:p w:rsidR="007C34CF" w:rsidRDefault="007C34CF" w:rsidP="007C34CF">
      <w:pPr>
        <w:spacing w:after="120"/>
      </w:pPr>
      <w:r>
        <w:t>- получить прочные навыки обращения с процентами в повседневной жизни.</w:t>
      </w:r>
    </w:p>
    <w:p w:rsidR="007C34CF" w:rsidRDefault="007C34CF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A15F60" w:rsidRDefault="00A15F60" w:rsidP="00A15F60">
      <w:pPr>
        <w:spacing w:after="120"/>
        <w:jc w:val="center"/>
      </w:pPr>
      <w:r w:rsidRPr="00A51380">
        <w:lastRenderedPageBreak/>
        <w:t>Содержание курса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  <w:gridCol w:w="6640"/>
        <w:gridCol w:w="1417"/>
      </w:tblGrid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Название раздела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Краткое содержание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Количество часов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Проценты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spacing w:before="100" w:beforeAutospacing="1" w:after="100" w:afterAutospacing="1"/>
            </w:pPr>
            <w:r w:rsidRPr="00A15F60">
              <w:t xml:space="preserve">Понятие процента. Основные задачи на проценты. Выражение процента дробью. Замена дроби процентами.  Нахождение процента от числа; числа по его процентам; -процентного </w:t>
            </w:r>
            <w:proofErr w:type="spellStart"/>
            <w:r w:rsidRPr="00A15F60">
              <w:t>соотношения</w:t>
            </w:r>
            <w:proofErr w:type="gramStart"/>
            <w:r w:rsidRPr="00A15F60">
              <w:t>.П</w:t>
            </w:r>
            <w:proofErr w:type="gramEnd"/>
            <w:r w:rsidRPr="00A15F60">
              <w:t>ростые</w:t>
            </w:r>
            <w:proofErr w:type="spellEnd"/>
            <w:r w:rsidRPr="00A15F60">
              <w:t xml:space="preserve"> проценты. Формулы и схемы «простого процентного роста». Сложные проценты. Формулы и схемы « сложного процентного роста». Задачи  «про цены». Решение задач на ценообразование.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4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Задачи с газетной полосы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задач с газетной полосы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1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Банковские расчёты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rPr>
                <w:b/>
              </w:rPr>
            </w:pPr>
            <w:r w:rsidRPr="00A15F60">
              <w:t>Исторические факты. Исторические   сведения о применении процентов  ростовщиками и банками. Терминологический словарь. Специфические термины, встречающиеся  при решении задач на проценты в жизненных ситуациях.</w:t>
            </w:r>
          </w:p>
          <w:p w:rsidR="00A15F60" w:rsidRPr="00A15F60" w:rsidRDefault="00A15F60" w:rsidP="00A15F60">
            <w:r w:rsidRPr="00A15F60">
              <w:t xml:space="preserve">Процедурные вычисления в жизненных  ситуациях. Решение задач </w:t>
            </w:r>
            <w:proofErr w:type="gramStart"/>
            <w:r w:rsidRPr="00A15F60">
              <w:t>на</w:t>
            </w:r>
            <w:proofErr w:type="gramEnd"/>
            <w:r w:rsidRPr="00A15F60">
              <w:t>:</w:t>
            </w:r>
          </w:p>
          <w:p w:rsidR="00A15F60" w:rsidRPr="00A15F60" w:rsidRDefault="00A15F60" w:rsidP="00A15F60">
            <w:r w:rsidRPr="00A15F60">
              <w:t>- повышение и понижение цен на товары и услуги;</w:t>
            </w:r>
          </w:p>
          <w:p w:rsidR="00A15F60" w:rsidRPr="00A15F60" w:rsidRDefault="00A15F60" w:rsidP="00A15F60">
            <w:r w:rsidRPr="00A15F60">
              <w:t>-</w:t>
            </w:r>
            <w:r w:rsidRPr="00A15F60">
              <w:rPr>
                <w:b/>
                <w:i/>
              </w:rPr>
              <w:t xml:space="preserve"> </w:t>
            </w:r>
            <w:r w:rsidRPr="00A15F60">
              <w:t>начисление простых процентов за часть года;</w:t>
            </w:r>
          </w:p>
          <w:p w:rsidR="00A15F60" w:rsidRPr="00A15F60" w:rsidRDefault="00A15F60" w:rsidP="00A15F60">
            <w:r w:rsidRPr="00A15F60">
              <w:rPr>
                <w:b/>
                <w:i/>
              </w:rPr>
              <w:t>-</w:t>
            </w:r>
            <w:r w:rsidRPr="00A15F60">
              <w:t>изменение годовых ставок простых процентов;</w:t>
            </w:r>
          </w:p>
          <w:p w:rsidR="00A15F60" w:rsidRPr="00A15F60" w:rsidRDefault="00A15F60" w:rsidP="00A15F60">
            <w:r w:rsidRPr="00A15F60">
              <w:t>-капитализацию простых процентов;</w:t>
            </w:r>
          </w:p>
          <w:p w:rsidR="00A15F60" w:rsidRPr="00A15F60" w:rsidRDefault="00A15F60" w:rsidP="00A15F60">
            <w:r w:rsidRPr="00A15F60">
              <w:t>-ежегодные начисления сложных процентов;</w:t>
            </w:r>
          </w:p>
          <w:p w:rsidR="00A15F60" w:rsidRPr="00A15F60" w:rsidRDefault="00A15F60" w:rsidP="00A15F60">
            <w:r w:rsidRPr="00A15F60">
              <w:t>-многократное начисление процентов в течение одного года;</w:t>
            </w:r>
          </w:p>
          <w:p w:rsidR="00A15F60" w:rsidRPr="00A15F60" w:rsidRDefault="00A15F60" w:rsidP="00A15F60">
            <w:r w:rsidRPr="00A15F60">
              <w:t>-многократное начисление сложных процентов в течение нескольких лет.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8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Бытовые задачи  на концентрацию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задач на концентрацию и процентное содержание. Бытовые задачи на концентрацию и процентное содержание.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2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Технологические задачи на  сплавы 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>Решение  задач на сплавы. Технологические задачи на  сплавы. Решение  задач на  концентрацию. Технологические задачи на    процентное содержание.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3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Функциональные зависимости с экономическим содержанием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r w:rsidRPr="00A15F60">
              <w:t xml:space="preserve">Линейная  функция в экономике. Решение производственно </w:t>
            </w:r>
            <w:proofErr w:type="gramStart"/>
            <w:r w:rsidRPr="00A15F60">
              <w:t>-э</w:t>
            </w:r>
            <w:proofErr w:type="gramEnd"/>
            <w:r w:rsidRPr="00A15F60">
              <w:t xml:space="preserve">кономических задач с помощью линейной функции. Уравнение  </w:t>
            </w:r>
            <w:proofErr w:type="gramStart"/>
            <w:r w:rsidRPr="00A15F60">
              <w:t>прямой</w:t>
            </w:r>
            <w:proofErr w:type="gramEnd"/>
            <w:r w:rsidRPr="00A15F60">
              <w:t xml:space="preserve">  в экономических расчётах. Использование в экономических расчётах уравнения  прямой линии.</w:t>
            </w:r>
          </w:p>
          <w:p w:rsidR="00A15F60" w:rsidRPr="00A15F60" w:rsidRDefault="00A15F60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3</w:t>
            </w:r>
          </w:p>
        </w:tc>
      </w:tr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Математика в реальности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A15F60">
            <w:pPr>
              <w:spacing w:before="100" w:beforeAutospacing="1" w:after="100" w:afterAutospacing="1"/>
            </w:pPr>
            <w:r w:rsidRPr="00A15F60">
              <w:t>Финансовые пирамиды. Закон сохранения. Расчётные задачи. Фирмы – распространители. Фирмы-распространители. Сетевая технология. Доступные финансовые процедуры. Повторение формул и финансовых законов</w:t>
            </w:r>
            <w:r w:rsidRPr="00A15F60">
              <w:rPr>
                <w:b/>
              </w:rPr>
              <w:t>.</w:t>
            </w:r>
            <w:r w:rsidRPr="00A15F60">
              <w:t xml:space="preserve"> Доступные финансовые процедуры. Как выбрать выгодный вклад в банке. Акции.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7</w:t>
            </w:r>
          </w:p>
        </w:tc>
      </w:tr>
    </w:tbl>
    <w:p w:rsidR="009069B7" w:rsidRDefault="009069B7" w:rsidP="00762F33">
      <w:pPr>
        <w:ind w:left="720"/>
        <w:jc w:val="center"/>
        <w:rPr>
          <w:b/>
          <w:sz w:val="28"/>
          <w:szCs w:val="28"/>
        </w:rPr>
      </w:pPr>
    </w:p>
    <w:p w:rsidR="00A15F60" w:rsidRDefault="00A15F60" w:rsidP="00762F33">
      <w:pPr>
        <w:ind w:left="720"/>
        <w:jc w:val="center"/>
        <w:rPr>
          <w:b/>
          <w:sz w:val="28"/>
          <w:szCs w:val="28"/>
        </w:rPr>
      </w:pPr>
    </w:p>
    <w:p w:rsidR="003A5638" w:rsidRDefault="003A5638" w:rsidP="003A5638">
      <w:pPr>
        <w:ind w:left="427" w:right="-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Календарно-тематическое планирование курсов</w:t>
      </w:r>
    </w:p>
    <w:p w:rsidR="00D373F6" w:rsidRDefault="00D373F6" w:rsidP="003A5638">
      <w:pPr>
        <w:ind w:left="427" w:right="-20"/>
        <w:jc w:val="center"/>
        <w:rPr>
          <w:b/>
          <w:bCs/>
          <w:color w:val="000000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545"/>
        <w:gridCol w:w="4559"/>
        <w:gridCol w:w="1417"/>
        <w:gridCol w:w="1803"/>
        <w:gridCol w:w="1599"/>
      </w:tblGrid>
      <w:tr w:rsidR="004C5CBF" w:rsidRPr="004C5CBF" w:rsidTr="004C5CBF">
        <w:trPr>
          <w:trHeight w:val="57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Название разделов и темы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Количество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Календарные сроки</w:t>
            </w:r>
          </w:p>
        </w:tc>
      </w:tr>
      <w:tr w:rsidR="004C5CBF" w:rsidRPr="004C5CBF" w:rsidTr="004C5CBF">
        <w:trPr>
          <w:trHeight w:val="87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Планируемые сроки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Фактические сроки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05.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окт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Простые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окт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Простые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окт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Сложные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26.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окт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Задачи с газетной полосы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09.ноя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16.ноя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23.ноя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Банковские расчёты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30.ноя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07.дек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14.дек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21.дек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11.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янв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Процедурные вычисления в жизненных  ситуациях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18.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янв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0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25.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янв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0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01.фев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08.фев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7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22.фев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01.мар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15.мар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24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22.мар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05.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апр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реальности. Финансовые пирамиды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12.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апр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39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реальности. Сетевая технология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19.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апр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26.</w:t>
            </w:r>
            <w:proofErr w:type="gramStart"/>
            <w:r w:rsidRPr="004C5CBF">
              <w:rPr>
                <w:color w:val="000000"/>
                <w:sz w:val="28"/>
                <w:szCs w:val="28"/>
              </w:rPr>
              <w:t>апр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Фирмы-распространители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03.май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10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Доступные финансовые процедуры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10.май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Акции.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17.май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3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24.май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4C5CBF" w:rsidRPr="004C5CBF" w:rsidTr="004C5CBF">
        <w:trPr>
          <w:trHeight w:val="68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Итоговое занятие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right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30.май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9069B7" w:rsidRPr="00C11182" w:rsidRDefault="009069B7" w:rsidP="00762F33">
      <w:pPr>
        <w:ind w:left="720"/>
        <w:jc w:val="center"/>
        <w:rPr>
          <w:b/>
          <w:sz w:val="28"/>
          <w:szCs w:val="28"/>
        </w:rPr>
      </w:pPr>
    </w:p>
    <w:p w:rsidR="00762F33" w:rsidRPr="00C11182" w:rsidRDefault="00762F33" w:rsidP="00762F33">
      <w:pPr>
        <w:rPr>
          <w:b/>
          <w:sz w:val="28"/>
          <w:szCs w:val="28"/>
        </w:rPr>
      </w:pPr>
    </w:p>
    <w:p w:rsidR="003A5638" w:rsidRDefault="003A5638" w:rsidP="003A5638">
      <w:pPr>
        <w:ind w:left="427" w:right="-20"/>
        <w:jc w:val="center"/>
      </w:pPr>
    </w:p>
    <w:p w:rsidR="00762F33" w:rsidRDefault="00762F33" w:rsidP="00762F33">
      <w:pPr>
        <w:ind w:left="1440"/>
        <w:rPr>
          <w:b/>
          <w:sz w:val="28"/>
          <w:szCs w:val="28"/>
        </w:rPr>
      </w:pPr>
    </w:p>
    <w:p w:rsidR="00703032" w:rsidRPr="00C11182" w:rsidRDefault="00703032" w:rsidP="00762F33">
      <w:pPr>
        <w:rPr>
          <w:b/>
          <w:vanish/>
          <w:sz w:val="28"/>
          <w:szCs w:val="28"/>
        </w:rPr>
      </w:pPr>
    </w:p>
    <w:p w:rsidR="00762F33" w:rsidRPr="00C11182" w:rsidRDefault="00762F33" w:rsidP="00762F33">
      <w:pPr>
        <w:jc w:val="center"/>
        <w:rPr>
          <w:b/>
          <w:sz w:val="28"/>
          <w:szCs w:val="28"/>
        </w:rPr>
      </w:pPr>
      <w:r w:rsidRPr="00C11182">
        <w:rPr>
          <w:b/>
          <w:vanish/>
          <w:sz w:val="28"/>
          <w:szCs w:val="28"/>
        </w:rPr>
        <w:t>Тематическое планирование</w:t>
      </w:r>
    </w:p>
    <w:sectPr w:rsidR="00762F33" w:rsidRPr="00C11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42EDB"/>
    <w:multiLevelType w:val="hybridMultilevel"/>
    <w:tmpl w:val="095EC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4F051D"/>
    <w:multiLevelType w:val="hybridMultilevel"/>
    <w:tmpl w:val="3BD01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E852C5"/>
    <w:multiLevelType w:val="hybridMultilevel"/>
    <w:tmpl w:val="9F2C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633B0"/>
    <w:multiLevelType w:val="hybridMultilevel"/>
    <w:tmpl w:val="C8BE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F25494"/>
    <w:multiLevelType w:val="hybridMultilevel"/>
    <w:tmpl w:val="C792D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BC43ED"/>
    <w:multiLevelType w:val="hybridMultilevel"/>
    <w:tmpl w:val="643CE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33"/>
    <w:rsid w:val="00277197"/>
    <w:rsid w:val="003A5638"/>
    <w:rsid w:val="003A7674"/>
    <w:rsid w:val="00456E8C"/>
    <w:rsid w:val="004C5CBF"/>
    <w:rsid w:val="006024F9"/>
    <w:rsid w:val="006F77CE"/>
    <w:rsid w:val="00703032"/>
    <w:rsid w:val="00762F33"/>
    <w:rsid w:val="007C34CF"/>
    <w:rsid w:val="00894FF4"/>
    <w:rsid w:val="009069B7"/>
    <w:rsid w:val="00A15F60"/>
    <w:rsid w:val="00B15F85"/>
    <w:rsid w:val="00BD2EA2"/>
    <w:rsid w:val="00D373F6"/>
    <w:rsid w:val="00D63F7C"/>
    <w:rsid w:val="00DA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A09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9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456E8C"/>
    <w:pPr>
      <w:suppressAutoHyphens/>
      <w:spacing w:before="280" w:after="119"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A09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9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456E8C"/>
    <w:pPr>
      <w:suppressAutoHyphens/>
      <w:spacing w:before="280" w:after="119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8</cp:revision>
  <cp:lastPrinted>2018-10-30T07:22:00Z</cp:lastPrinted>
  <dcterms:created xsi:type="dcterms:W3CDTF">2018-10-17T10:23:00Z</dcterms:created>
  <dcterms:modified xsi:type="dcterms:W3CDTF">2018-10-30T12:48:00Z</dcterms:modified>
</cp:coreProperties>
</file>